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6E" w:rsidRDefault="001C02D4">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1A636E" w:rsidRDefault="001C02D4">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1A636E" w:rsidRDefault="001C02D4">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1A636E" w:rsidRDefault="001C02D4">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A636E" w:rsidRDefault="001C02D4">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1A636E" w:rsidRDefault="001C02D4">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A636E" w:rsidRDefault="001C02D4">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A636E" w:rsidRDefault="001C02D4">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1A636E" w:rsidRDefault="001C02D4">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1A636E" w:rsidRDefault="001C02D4">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1A636E" w:rsidRDefault="001C02D4">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1A636E" w:rsidRDefault="001C02D4">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1A636E" w:rsidRDefault="001C02D4">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1A636E" w:rsidRDefault="001C02D4">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1A636E" w:rsidRDefault="001C02D4">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1A636E" w:rsidRDefault="001C02D4">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A636E" w:rsidRDefault="001C02D4">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1A636E" w:rsidRDefault="001C02D4">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1A636E" w:rsidRDefault="001A636E">
      <w:pPr>
        <w:widowControl/>
        <w:rPr>
          <w:rFonts w:ascii="SimSun" w:eastAsia="SimSun" w:hAnsi="SimSun" w:cs="SimSun"/>
          <w:sz w:val="22"/>
          <w:szCs w:val="22"/>
        </w:rPr>
      </w:pPr>
    </w:p>
    <w:p w:rsidR="001A636E" w:rsidRDefault="001A636E">
      <w:pPr>
        <w:widowControl/>
        <w:spacing w:before="240" w:line="300" w:lineRule="auto"/>
        <w:jc w:val="left"/>
        <w:rPr>
          <w:rFonts w:ascii="SimSun" w:eastAsia="SimSun" w:hAnsi="SimSun" w:cs="SimSun"/>
          <w:sz w:val="22"/>
          <w:szCs w:val="22"/>
        </w:rPr>
      </w:pPr>
    </w:p>
    <w:p w:rsidR="001A636E" w:rsidRDefault="001C02D4">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1A636E" w:rsidRDefault="001C02D4">
      <w:pPr>
        <w:rPr>
          <w:rFonts w:ascii="SimSun" w:eastAsia="SimSun" w:hAnsi="SimSun"/>
        </w:rPr>
      </w:pPr>
      <w:r>
        <w:rPr>
          <w:rFonts w:ascii="SimSun" w:eastAsia="SimSun" w:hAnsi="SimSun"/>
        </w:rPr>
        <w:br w:type="page"/>
      </w:r>
    </w:p>
    <w:p w:rsidR="001A636E" w:rsidRDefault="001C02D4">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1A636E" w:rsidRDefault="001C02D4">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1A636E" w:rsidRDefault="001C02D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1A636E" w:rsidRDefault="001C02D4">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1A636E" w:rsidRDefault="001C02D4">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1A636E" w:rsidRDefault="001C02D4">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1A636E" w:rsidRDefault="001C02D4">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1A636E" w:rsidRDefault="001C02D4">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1A636E" w:rsidRDefault="001A636E">
      <w:pPr>
        <w:ind w:left="720"/>
        <w:rPr>
          <w:rFonts w:ascii="SimSun" w:eastAsia="SimSun" w:hAnsi="SimSun" w:cs="SimSun"/>
          <w:color w:val="000000"/>
          <w:sz w:val="22"/>
          <w:szCs w:val="22"/>
        </w:rPr>
      </w:pPr>
    </w:p>
    <w:p w:rsidR="001A636E" w:rsidRDefault="001C02D4">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1A636E" w:rsidRDefault="001A636E">
      <w:pPr>
        <w:spacing w:line="300" w:lineRule="auto"/>
        <w:ind w:left="720"/>
        <w:rPr>
          <w:rFonts w:ascii="SimSun" w:eastAsia="SimSun" w:hAnsi="SimSun" w:cs="SimSun"/>
          <w:color w:val="000000"/>
          <w:sz w:val="22"/>
          <w:szCs w:val="22"/>
        </w:rPr>
      </w:pPr>
    </w:p>
    <w:p w:rsidR="001A636E" w:rsidRDefault="001C02D4">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1A636E" w:rsidRDefault="001A636E">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1A636E">
        <w:tc>
          <w:tcPr>
            <w:tcW w:w="296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1A636E">
        <w:tc>
          <w:tcPr>
            <w:tcW w:w="296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A636E">
        <w:tc>
          <w:tcPr>
            <w:tcW w:w="296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A636E">
        <w:tc>
          <w:tcPr>
            <w:tcW w:w="296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A636E">
        <w:tc>
          <w:tcPr>
            <w:tcW w:w="296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1A636E" w:rsidRDefault="001C02D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1A636E" w:rsidRDefault="001A636E">
      <w:pPr>
        <w:spacing w:line="300" w:lineRule="auto"/>
        <w:ind w:left="720"/>
        <w:rPr>
          <w:rFonts w:ascii="SimSun" w:eastAsia="SimSun" w:hAnsi="SimSun" w:cs="Gungsuh"/>
          <w:color w:val="000000"/>
          <w:sz w:val="22"/>
          <w:szCs w:val="22"/>
        </w:rPr>
      </w:pPr>
    </w:p>
    <w:p w:rsidR="001A636E" w:rsidRDefault="001C02D4">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1A636E" w:rsidRDefault="001A636E">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1A636E">
        <w:trPr>
          <w:trHeight w:val="684"/>
        </w:trPr>
        <w:tc>
          <w:tcPr>
            <w:tcW w:w="2090" w:type="dxa"/>
          </w:tcPr>
          <w:p w:rsidR="001A636E" w:rsidRDefault="001C02D4">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1A636E" w:rsidRDefault="001C02D4">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1A636E" w:rsidRDefault="001C02D4">
            <w:pPr>
              <w:rPr>
                <w:rFonts w:ascii="SimSun" w:eastAsia="SimSun" w:hAnsi="SimSun" w:cs="SimSun"/>
                <w:sz w:val="22"/>
                <w:szCs w:val="22"/>
              </w:rPr>
            </w:pPr>
            <w:r>
              <w:rPr>
                <w:rFonts w:ascii="SimSun" w:eastAsia="SimSun" w:hAnsi="SimSun" w:cs="SimSun" w:hint="eastAsia"/>
                <w:sz w:val="22"/>
                <w:szCs w:val="22"/>
              </w:rPr>
              <w:t>四季度</w:t>
            </w:r>
          </w:p>
        </w:tc>
      </w:tr>
      <w:tr w:rsidR="001A636E">
        <w:trPr>
          <w:trHeight w:val="222"/>
        </w:trPr>
        <w:tc>
          <w:tcPr>
            <w:tcW w:w="2090" w:type="dxa"/>
          </w:tcPr>
          <w:p w:rsidR="001A636E" w:rsidRDefault="001C02D4">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A636E">
        <w:trPr>
          <w:trHeight w:val="230"/>
        </w:trPr>
        <w:tc>
          <w:tcPr>
            <w:tcW w:w="2090" w:type="dxa"/>
          </w:tcPr>
          <w:p w:rsidR="001A636E" w:rsidRDefault="001C02D4">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A636E">
        <w:trPr>
          <w:trHeight w:val="222"/>
        </w:trPr>
        <w:tc>
          <w:tcPr>
            <w:tcW w:w="2090" w:type="dxa"/>
          </w:tcPr>
          <w:p w:rsidR="001A636E" w:rsidRDefault="001C02D4">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A636E">
        <w:trPr>
          <w:trHeight w:val="230"/>
        </w:trPr>
        <w:tc>
          <w:tcPr>
            <w:tcW w:w="2090" w:type="dxa"/>
          </w:tcPr>
          <w:p w:rsidR="001A636E" w:rsidRDefault="001C02D4">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A636E">
        <w:trPr>
          <w:trHeight w:val="222"/>
        </w:trPr>
        <w:tc>
          <w:tcPr>
            <w:tcW w:w="2090" w:type="dxa"/>
          </w:tcPr>
          <w:p w:rsidR="001A636E" w:rsidRDefault="001C02D4">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A636E">
        <w:trPr>
          <w:trHeight w:val="230"/>
        </w:trPr>
        <w:tc>
          <w:tcPr>
            <w:tcW w:w="2090" w:type="dxa"/>
          </w:tcPr>
          <w:p w:rsidR="001A636E" w:rsidRDefault="001C02D4">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A636E" w:rsidRDefault="001C02D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1A636E" w:rsidRDefault="001A636E">
      <w:pPr>
        <w:rPr>
          <w:rFonts w:ascii="SimSun" w:eastAsia="SimSun" w:hAnsi="SimSun" w:cs="SimSun"/>
          <w:sz w:val="22"/>
          <w:szCs w:val="22"/>
        </w:rPr>
      </w:pPr>
    </w:p>
    <w:sdt>
      <w:sdtPr>
        <w:rPr>
          <w:rFonts w:ascii="SimSun" w:eastAsia="SimSun" w:hAnsi="SimSun"/>
        </w:rPr>
        <w:tag w:val="goog_rdk_48"/>
        <w:id w:val="-1851330596"/>
      </w:sdtPr>
      <w:sdtEndPr/>
      <w:sdtContent>
        <w:p w:rsidR="001A636E" w:rsidRDefault="001C02D4">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1A636E" w:rsidRDefault="001C02D4">
          <w:pPr>
            <w:rPr>
              <w:rFonts w:ascii="SimSun" w:eastAsia="SimSun" w:hAnsi="SimSun" w:cs="SimSun"/>
              <w:color w:val="000000"/>
              <w:sz w:val="22"/>
              <w:szCs w:val="22"/>
            </w:rPr>
          </w:pPr>
        </w:p>
      </w:sdtContent>
    </w:sdt>
    <w:p w:rsidR="001A636E" w:rsidRDefault="001C02D4">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1A636E" w:rsidRDefault="001A636E">
      <w:pPr>
        <w:spacing w:line="300" w:lineRule="auto"/>
        <w:ind w:left="720"/>
        <w:rPr>
          <w:rFonts w:ascii="SimSun" w:eastAsia="SimSun" w:hAnsi="SimSun" w:cs="SimSun"/>
          <w:color w:val="000000"/>
          <w:sz w:val="22"/>
          <w:szCs w:val="22"/>
        </w:rPr>
      </w:pPr>
    </w:p>
    <w:p w:rsidR="001A636E" w:rsidRDefault="001C02D4">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1A636E" w:rsidRDefault="001A636E">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A636E">
        <w:tc>
          <w:tcPr>
            <w:tcW w:w="3244" w:type="dxa"/>
          </w:tcPr>
          <w:p w:rsidR="001A636E" w:rsidRDefault="001C02D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A636E" w:rsidRDefault="001C02D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1A636E" w:rsidRDefault="001C02D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A636E" w:rsidRDefault="001A636E">
      <w:pPr>
        <w:rPr>
          <w:rFonts w:ascii="SimSun" w:eastAsia="SimSun" w:hAnsi="SimSun" w:cs="SimSun"/>
          <w:color w:val="000000"/>
          <w:sz w:val="22"/>
          <w:szCs w:val="22"/>
        </w:rPr>
      </w:pPr>
    </w:p>
    <w:p w:rsidR="001A636E" w:rsidRDefault="001C02D4">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1A636E" w:rsidRDefault="001A636E">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A636E">
        <w:tc>
          <w:tcPr>
            <w:tcW w:w="3244" w:type="dxa"/>
          </w:tcPr>
          <w:p w:rsidR="001A636E" w:rsidRDefault="001C02D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A636E" w:rsidRDefault="001C02D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1A636E" w:rsidRDefault="001C02D4">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A636E">
        <w:tc>
          <w:tcPr>
            <w:tcW w:w="3244" w:type="dxa"/>
            <w:vAlign w:val="center"/>
          </w:tcPr>
          <w:p w:rsidR="001A636E" w:rsidRDefault="001C02D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1A636E" w:rsidRDefault="001C02D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A636E" w:rsidRDefault="001A636E">
      <w:pPr>
        <w:rPr>
          <w:rFonts w:ascii="SimSun" w:eastAsia="SimSun" w:hAnsi="SimSun" w:cs="SimSun"/>
          <w:color w:val="000000"/>
          <w:sz w:val="22"/>
          <w:szCs w:val="22"/>
        </w:rPr>
      </w:pPr>
    </w:p>
    <w:p w:rsidR="001A636E" w:rsidRDefault="001C02D4">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1A636E" w:rsidRDefault="001A636E">
      <w:pPr>
        <w:ind w:left="720"/>
        <w:rPr>
          <w:rFonts w:ascii="SimSun" w:eastAsia="SimSun" w:hAnsi="SimSun" w:cs="SimSun"/>
          <w:color w:val="000000"/>
          <w:sz w:val="22"/>
          <w:szCs w:val="22"/>
        </w:rPr>
      </w:pPr>
    </w:p>
    <w:p w:rsidR="001A636E" w:rsidRDefault="001C02D4">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1A636E" w:rsidRDefault="001C02D4">
      <w:pPr>
        <w:widowControl/>
        <w:jc w:val="center"/>
        <w:rPr>
          <w:rFonts w:ascii="SimSun" w:eastAsia="SimSun" w:hAnsi="SimSun" w:cs="SimSun"/>
          <w:b/>
          <w:sz w:val="22"/>
          <w:szCs w:val="22"/>
        </w:rPr>
      </w:pPr>
      <w:r>
        <w:rPr>
          <w:rFonts w:ascii="SimSun" w:eastAsia="SimSun" w:hAnsi="SimSun" w:cs="SimSun"/>
          <w:b/>
          <w:sz w:val="22"/>
          <w:szCs w:val="22"/>
        </w:rPr>
        <w:t>绩效调整方案</w:t>
      </w:r>
    </w:p>
    <w:p w:rsidR="001A636E" w:rsidRDefault="001C02D4">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1A636E" w:rsidRDefault="001C02D4">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1A636E" w:rsidRDefault="001C02D4">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A636E">
        <w:tc>
          <w:tcPr>
            <w:tcW w:w="2977"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1A636E" w:rsidRDefault="001C02D4">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1A636E" w:rsidRDefault="001C02D4">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1A636E" w:rsidRDefault="001C02D4">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1A636E" w:rsidRDefault="001C02D4">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1A636E" w:rsidRDefault="001C02D4">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1A636E" w:rsidRDefault="001C02D4">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1A636E" w:rsidRDefault="001C02D4">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1A636E" w:rsidRDefault="001C02D4">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1A636E" w:rsidRDefault="001C02D4">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1A636E" w:rsidRDefault="001C02D4">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1A636E" w:rsidRDefault="001C02D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1A636E" w:rsidRDefault="001C02D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1A636E" w:rsidRDefault="001C02D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1A636E" w:rsidRDefault="001C02D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1A636E" w:rsidRDefault="001C02D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1A636E" w:rsidRDefault="001C02D4">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1A636E" w:rsidRDefault="001C02D4">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1A636E" w:rsidRDefault="001C02D4">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1A636E" w:rsidRDefault="001C02D4">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1A636E" w:rsidRDefault="001A636E">
      <w:pPr>
        <w:rPr>
          <w:rFonts w:ascii="SimSun" w:eastAsia="SimSun" w:hAnsi="SimSun" w:cs="SimSun"/>
          <w:sz w:val="22"/>
          <w:szCs w:val="22"/>
        </w:rPr>
      </w:pPr>
    </w:p>
    <w:p w:rsidR="001A636E" w:rsidRDefault="001A636E">
      <w:pPr>
        <w:rPr>
          <w:rFonts w:ascii="SimSun" w:eastAsia="SimSun" w:hAnsi="SimSun" w:cs="SimSun"/>
          <w:sz w:val="22"/>
          <w:szCs w:val="22"/>
        </w:rPr>
      </w:pPr>
    </w:p>
    <w:p w:rsidR="001A636E" w:rsidRDefault="001A636E">
      <w:pPr>
        <w:rPr>
          <w:rFonts w:ascii="SimSun" w:eastAsia="SimSun" w:hAnsi="SimSun" w:cs="SimSun"/>
          <w:sz w:val="22"/>
          <w:szCs w:val="22"/>
        </w:rPr>
      </w:pPr>
    </w:p>
    <w:p w:rsidR="001A636E" w:rsidRDefault="001A636E">
      <w:pPr>
        <w:rPr>
          <w:rFonts w:ascii="SimSun" w:eastAsia="SimSun" w:hAnsi="SimSun" w:cs="SimSun"/>
          <w:sz w:val="22"/>
          <w:szCs w:val="22"/>
        </w:rPr>
      </w:pPr>
    </w:p>
    <w:p w:rsidR="001A636E" w:rsidRDefault="001A636E">
      <w:pPr>
        <w:rPr>
          <w:rFonts w:ascii="SimSun" w:eastAsia="SimSun" w:hAnsi="SimSun" w:cs="SimSun"/>
          <w:sz w:val="22"/>
          <w:szCs w:val="22"/>
        </w:rPr>
      </w:pPr>
    </w:p>
    <w:p w:rsidR="001A636E" w:rsidRDefault="001A636E">
      <w:pPr>
        <w:rPr>
          <w:rFonts w:ascii="SimSun" w:eastAsia="SimSun" w:hAnsi="SimSun" w:cs="SimSun"/>
          <w:sz w:val="22"/>
          <w:szCs w:val="22"/>
        </w:rPr>
      </w:pPr>
    </w:p>
    <w:p w:rsidR="001A636E" w:rsidRDefault="001A636E">
      <w:pPr>
        <w:widowControl/>
        <w:spacing w:before="240" w:line="300" w:lineRule="auto"/>
        <w:ind w:left="-2"/>
        <w:jc w:val="center"/>
        <w:rPr>
          <w:rFonts w:ascii="SimSun" w:eastAsia="SimSun" w:hAnsi="SimSun" w:cs="SimSun"/>
          <w:sz w:val="22"/>
          <w:szCs w:val="22"/>
        </w:rPr>
      </w:pPr>
    </w:p>
    <w:sectPr w:rsidR="001A636E">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02D4">
      <w:r>
        <w:separator/>
      </w:r>
    </w:p>
  </w:endnote>
  <w:endnote w:type="continuationSeparator" w:id="0">
    <w:p w:rsidR="00000000" w:rsidRDefault="001C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E" w:rsidRDefault="001C02D4">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1A636E" w:rsidRDefault="001A636E">
    <w:pPr>
      <w:tabs>
        <w:tab w:val="center" w:pos="4153"/>
        <w:tab w:val="right" w:pos="8306"/>
      </w:tabs>
      <w:jc w:val="left"/>
      <w:rPr>
        <w:color w:val="000000"/>
        <w:sz w:val="18"/>
        <w:szCs w:val="18"/>
      </w:rPr>
    </w:pPr>
  </w:p>
  <w:p w:rsidR="001A636E" w:rsidRDefault="001C02D4">
    <w:pPr>
      <w:tabs>
        <w:tab w:val="center" w:pos="4153"/>
        <w:tab w:val="right" w:pos="8306"/>
      </w:tabs>
      <w:jc w:val="left"/>
      <w:rPr>
        <w:color w:val="000000"/>
        <w:sz w:val="18"/>
        <w:szCs w:val="18"/>
      </w:rPr>
    </w:pPr>
    <w:r>
      <w:rPr>
        <w:color w:val="000000"/>
        <w:sz w:val="18"/>
        <w:szCs w:val="18"/>
      </w:rPr>
      <w:t>RDSL-Sales, Distribution &amp; Leasing-CIB Agreement-2023                                  ver 1.0</w:t>
    </w:r>
  </w:p>
  <w:p w:rsidR="001A636E" w:rsidRDefault="001A636E">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02D4">
      <w:r>
        <w:separator/>
      </w:r>
    </w:p>
  </w:footnote>
  <w:footnote w:type="continuationSeparator" w:id="0">
    <w:p w:rsidR="00000000" w:rsidRDefault="001C0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A636E"/>
    <w:rsid w:val="001B2A30"/>
    <w:rsid w:val="001C02D4"/>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7398E"/>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557F5-5C1C-4DB7-B804-728E4479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2024-07-03T10:09:00Z</cp:lastPrinted>
  <dcterms:created xsi:type="dcterms:W3CDTF">2024-04-29T06:37:00Z</dcterms:created>
  <dcterms:modified xsi:type="dcterms:W3CDTF">2024-07-03T10:09:00Z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